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3026" w14:textId="27C61A94" w:rsidR="006B146D" w:rsidRPr="006B146D" w:rsidRDefault="006B146D" w:rsidP="006B146D">
      <w:pPr>
        <w:spacing w:line="480" w:lineRule="auto"/>
        <w:jc w:val="center"/>
        <w:rPr>
          <w:b/>
          <w:bCs/>
          <w:sz w:val="28"/>
          <w:szCs w:val="28"/>
          <w:lang w:val="en-IL"/>
        </w:rPr>
      </w:pPr>
      <w:r w:rsidRPr="006B146D">
        <w:rPr>
          <w:b/>
          <w:bCs/>
          <w:sz w:val="28"/>
          <w:szCs w:val="28"/>
          <w:lang w:val="en-IL"/>
        </w:rPr>
        <w:t>Commemoration Ceremony for October 7th - One Year Later</w:t>
      </w:r>
    </w:p>
    <w:p w14:paraId="7C2F633E" w14:textId="77777777" w:rsidR="006B146D" w:rsidRPr="006B146D" w:rsidRDefault="006B146D" w:rsidP="008A4E56">
      <w:pPr>
        <w:rPr>
          <w:lang w:val="en-IL"/>
        </w:rPr>
      </w:pPr>
      <w:r w:rsidRPr="006B146D">
        <w:rPr>
          <w:b/>
          <w:bCs/>
          <w:lang w:val="en-IL"/>
        </w:rPr>
        <w:t>A Guide for Jewish Communities Worldwide</w:t>
      </w:r>
    </w:p>
    <w:p w14:paraId="192DA97A" w14:textId="7AEA9164" w:rsidR="006B146D" w:rsidRPr="006B146D" w:rsidRDefault="006B146D" w:rsidP="008A4E56">
      <w:pPr>
        <w:rPr>
          <w:rFonts w:hint="cs"/>
          <w:rtl/>
          <w:lang w:val="en-IL"/>
        </w:rPr>
      </w:pPr>
      <w:r w:rsidRPr="006B146D">
        <w:rPr>
          <w:lang w:val="en-IL"/>
        </w:rPr>
        <w:t xml:space="preserve">In collaboration with the </w:t>
      </w:r>
      <w:proofErr w:type="spellStart"/>
      <w:r w:rsidRPr="006B146D">
        <w:rPr>
          <w:lang w:val="en-IL"/>
        </w:rPr>
        <w:t>Shitim</w:t>
      </w:r>
      <w:proofErr w:type="spellEnd"/>
      <w:r w:rsidRPr="006B146D">
        <w:rPr>
          <w:lang w:val="en-IL"/>
        </w:rPr>
        <w:t xml:space="preserve"> Institute and the Zionist Enterprises Department of the World Zionist Organization</w:t>
      </w:r>
      <w:r w:rsidR="008A4E56">
        <w:rPr>
          <w:lang w:val="en-IL"/>
        </w:rPr>
        <w:t xml:space="preserve">, we are happy to offer you a free of charge booklet. </w:t>
      </w:r>
    </w:p>
    <w:p w14:paraId="07CB7CC0" w14:textId="6332C314" w:rsidR="006B146D" w:rsidRPr="006B146D" w:rsidRDefault="006B146D" w:rsidP="006B146D">
      <w:pPr>
        <w:rPr>
          <w:lang w:val="en-IL"/>
        </w:rPr>
      </w:pPr>
      <w:r w:rsidRPr="006B146D">
        <w:rPr>
          <w:lang w:val="en-IL"/>
        </w:rPr>
        <w:t xml:space="preserve">As we approach the first anniversary of the tragic events of October 7th, 2023, Jewish communities around the world seek ways to commemorate, reflect, and unite. This ceremony </w:t>
      </w:r>
      <w:r w:rsidR="008A4E56">
        <w:rPr>
          <w:lang w:val="en-IL"/>
        </w:rPr>
        <w:t>booklet</w:t>
      </w:r>
      <w:r w:rsidRPr="006B146D">
        <w:rPr>
          <w:lang w:val="en-IL"/>
        </w:rPr>
        <w:t xml:space="preserve">, developed in partnership with the </w:t>
      </w:r>
      <w:proofErr w:type="spellStart"/>
      <w:r w:rsidRPr="006B146D">
        <w:rPr>
          <w:lang w:val="en-IL"/>
        </w:rPr>
        <w:t>Shitim</w:t>
      </w:r>
      <w:proofErr w:type="spellEnd"/>
      <w:r w:rsidRPr="006B146D">
        <w:rPr>
          <w:lang w:val="en-IL"/>
        </w:rPr>
        <w:t xml:space="preserve"> Institute, offers a framework for creating meaningful, community-specific remembrance events.</w:t>
      </w:r>
    </w:p>
    <w:p w14:paraId="247D738B" w14:textId="229E84FE" w:rsidR="006B146D" w:rsidRPr="006B146D" w:rsidRDefault="006B146D" w:rsidP="006B146D">
      <w:pPr>
        <w:rPr>
          <w:lang w:val="en-IL"/>
        </w:rPr>
      </w:pPr>
      <w:r w:rsidRPr="006B146D">
        <w:rPr>
          <w:lang w:val="en-IL"/>
        </w:rPr>
        <w:t xml:space="preserve">The proposed ceremony draws inspiration from Israel's annual Yom </w:t>
      </w:r>
      <w:proofErr w:type="spellStart"/>
      <w:r w:rsidRPr="006B146D">
        <w:rPr>
          <w:lang w:val="en-IL"/>
        </w:rPr>
        <w:t>Ha</w:t>
      </w:r>
      <w:r w:rsidR="008A4E56">
        <w:rPr>
          <w:lang w:val="en-IL"/>
        </w:rPr>
        <w:t>’</w:t>
      </w:r>
      <w:r w:rsidRPr="006B146D">
        <w:rPr>
          <w:lang w:val="en-IL"/>
        </w:rPr>
        <w:t>Zikaron</w:t>
      </w:r>
      <w:proofErr w:type="spellEnd"/>
      <w:r w:rsidRPr="006B146D">
        <w:rPr>
          <w:lang w:val="en-IL"/>
        </w:rPr>
        <w:t xml:space="preserve"> (Memorial Day) observances but is tailored to address the unique context of the October 7th attacks and the ongoing conflict</w:t>
      </w:r>
      <w:r w:rsidR="008A4E56">
        <w:rPr>
          <w:lang w:val="en-IL"/>
        </w:rPr>
        <w:t xml:space="preserve"> since</w:t>
      </w:r>
      <w:r w:rsidRPr="006B146D">
        <w:rPr>
          <w:lang w:val="en-IL"/>
        </w:rPr>
        <w:t>. It provides a structure that communities can adapt to reflect their own character, values, and mourning traditions.</w:t>
      </w:r>
    </w:p>
    <w:p w14:paraId="7BC67242" w14:textId="41D02BED" w:rsidR="006B146D" w:rsidRPr="006B146D" w:rsidRDefault="006B146D" w:rsidP="006B146D">
      <w:pPr>
        <w:rPr>
          <w:b/>
          <w:bCs/>
          <w:lang w:val="en-IL"/>
        </w:rPr>
      </w:pPr>
      <w:r w:rsidRPr="006B146D">
        <w:rPr>
          <w:b/>
          <w:bCs/>
          <w:lang w:val="en-IL"/>
        </w:rPr>
        <w:t>Key Features of the Ceremony Guide:</w:t>
      </w:r>
    </w:p>
    <w:p w14:paraId="071A5B38" w14:textId="4CE3FD6F" w:rsidR="006B146D" w:rsidRPr="006B146D" w:rsidRDefault="006B146D" w:rsidP="006B146D">
      <w:pPr>
        <w:numPr>
          <w:ilvl w:val="0"/>
          <w:numId w:val="4"/>
        </w:numPr>
        <w:rPr>
          <w:lang w:val="en-IL"/>
        </w:rPr>
      </w:pPr>
      <w:r w:rsidRPr="006B146D">
        <w:rPr>
          <w:b/>
          <w:bCs/>
          <w:lang w:val="en-IL"/>
        </w:rPr>
        <w:t>Flexible Format</w:t>
      </w:r>
      <w:r w:rsidRPr="006B146D">
        <w:rPr>
          <w:lang w:val="en-IL"/>
        </w:rPr>
        <w:t>: The guide offers a 40-minute ceremony outline that can be adjusted to suit various community sizes and settings.</w:t>
      </w:r>
    </w:p>
    <w:p w14:paraId="192A35F5" w14:textId="0D20EE1E" w:rsidR="006B146D" w:rsidRPr="006B146D" w:rsidRDefault="006B146D" w:rsidP="006B146D">
      <w:pPr>
        <w:numPr>
          <w:ilvl w:val="0"/>
          <w:numId w:val="4"/>
        </w:numPr>
        <w:rPr>
          <w:lang w:val="en-IL"/>
        </w:rPr>
      </w:pPr>
      <w:r w:rsidRPr="006B146D">
        <w:rPr>
          <w:b/>
          <w:bCs/>
          <w:lang w:val="en-IL"/>
        </w:rPr>
        <w:t>Interactive Elements</w:t>
      </w:r>
      <w:r w:rsidRPr="006B146D">
        <w:rPr>
          <w:lang w:val="en-IL"/>
        </w:rPr>
        <w:t>: Includes suggestions for pre-ceremony activities that encourage active participation and sharing among community members.</w:t>
      </w:r>
    </w:p>
    <w:p w14:paraId="0364BDD7" w14:textId="77777777" w:rsidR="006B146D" w:rsidRPr="006B146D" w:rsidRDefault="006B146D" w:rsidP="006B146D">
      <w:pPr>
        <w:numPr>
          <w:ilvl w:val="0"/>
          <w:numId w:val="4"/>
        </w:numPr>
        <w:rPr>
          <w:lang w:val="en-IL"/>
        </w:rPr>
      </w:pPr>
      <w:r w:rsidRPr="006B146D">
        <w:rPr>
          <w:b/>
          <w:bCs/>
          <w:lang w:val="en-IL"/>
        </w:rPr>
        <w:t>Diverse Content</w:t>
      </w:r>
      <w:r w:rsidRPr="006B146D">
        <w:rPr>
          <w:lang w:val="en-IL"/>
        </w:rPr>
        <w:t>: Incorporates readings, songs, recorded testimonies, and guiding narratives to create a comprehensive and emotionally resonant experience.</w:t>
      </w:r>
    </w:p>
    <w:p w14:paraId="4AD39FAC" w14:textId="63294C67" w:rsidR="006B146D" w:rsidRPr="006B146D" w:rsidRDefault="006B146D" w:rsidP="006B146D">
      <w:pPr>
        <w:numPr>
          <w:ilvl w:val="0"/>
          <w:numId w:val="4"/>
        </w:numPr>
        <w:rPr>
          <w:lang w:val="en-IL"/>
        </w:rPr>
      </w:pPr>
      <w:r w:rsidRPr="006B146D">
        <w:rPr>
          <w:b/>
          <w:bCs/>
          <w:lang w:val="en-IL"/>
        </w:rPr>
        <w:t>Customization Options</w:t>
      </w:r>
      <w:r w:rsidRPr="006B146D">
        <w:rPr>
          <w:lang w:val="en-IL"/>
        </w:rPr>
        <w:t>: Emphasizes the importance of tailoring the ceremony to each community's unique context, including references to local connections with Israel and partner communities.</w:t>
      </w:r>
    </w:p>
    <w:p w14:paraId="33A156A9" w14:textId="4A62EE03" w:rsidR="006B146D" w:rsidRPr="006B146D" w:rsidRDefault="006B146D" w:rsidP="006B146D">
      <w:pPr>
        <w:numPr>
          <w:ilvl w:val="0"/>
          <w:numId w:val="4"/>
        </w:numPr>
        <w:rPr>
          <w:lang w:val="en-IL"/>
        </w:rPr>
      </w:pPr>
      <w:r w:rsidRPr="006B146D">
        <w:rPr>
          <w:b/>
          <w:bCs/>
          <w:lang w:val="en-IL"/>
        </w:rPr>
        <w:t>Thematic Sections</w:t>
      </w:r>
      <w:r w:rsidRPr="006B146D">
        <w:rPr>
          <w:lang w:val="en-IL"/>
        </w:rPr>
        <w:t>: The ceremony is structured around key themes such as remembrance, unity, and hope for the future.</w:t>
      </w:r>
    </w:p>
    <w:p w14:paraId="02DA607C" w14:textId="0E2DFA02" w:rsidR="008352CB" w:rsidRDefault="008352CB" w:rsidP="006B146D">
      <w:pPr>
        <w:rPr>
          <w:b/>
          <w:bCs/>
          <w:rtl/>
          <w:lang w:val="en-IL"/>
        </w:rPr>
      </w:pPr>
    </w:p>
    <w:p w14:paraId="4CB56742" w14:textId="395EBC70" w:rsidR="006B146D" w:rsidRDefault="006B146D" w:rsidP="006B146D">
      <w:pPr>
        <w:rPr>
          <w:lang w:val="en-US"/>
        </w:rPr>
      </w:pPr>
      <w:r w:rsidRPr="006B146D">
        <w:rPr>
          <w:lang w:val="en-IL"/>
        </w:rPr>
        <w:t xml:space="preserve">We invite Jewish communities worldwide to use this guide as a starting point for creating meaningful, </w:t>
      </w:r>
      <w:r w:rsidR="008A4E56" w:rsidRPr="006B146D">
        <w:rPr>
          <w:lang w:val="en-IL"/>
        </w:rPr>
        <w:t>locally relevant</w:t>
      </w:r>
      <w:r w:rsidRPr="006B146D">
        <w:rPr>
          <w:lang w:val="en-IL"/>
        </w:rPr>
        <w:t xml:space="preserve"> commemoration events. By coming together in this way, we strengthen our collective memory, support for Israel, and hope for a peaceful future.</w:t>
      </w:r>
    </w:p>
    <w:p w14:paraId="13487FDF" w14:textId="6BEE6F9C" w:rsidR="001353E2" w:rsidRPr="006B146D" w:rsidRDefault="001353E2" w:rsidP="006B146D">
      <w:pPr>
        <w:rPr>
          <w:sz w:val="28"/>
          <w:szCs w:val="28"/>
          <w:lang w:val="en-US"/>
        </w:rPr>
      </w:pPr>
      <w:hyperlink r:id="rId5" w:history="1">
        <w:r w:rsidRPr="00936BAA">
          <w:rPr>
            <w:rStyle w:val="Hyperlink"/>
            <w:sz w:val="28"/>
            <w:szCs w:val="28"/>
            <w:lang w:val="en-US"/>
          </w:rPr>
          <w:t>Sign up h</w:t>
        </w:r>
        <w:r w:rsidRPr="00936BAA">
          <w:rPr>
            <w:rStyle w:val="Hyperlink"/>
            <w:sz w:val="28"/>
            <w:szCs w:val="28"/>
            <w:lang w:val="en-US"/>
          </w:rPr>
          <w:t>e</w:t>
        </w:r>
        <w:r w:rsidRPr="00936BAA">
          <w:rPr>
            <w:rStyle w:val="Hyperlink"/>
            <w:sz w:val="28"/>
            <w:szCs w:val="28"/>
            <w:lang w:val="en-US"/>
          </w:rPr>
          <w:t>re</w:t>
        </w:r>
      </w:hyperlink>
    </w:p>
    <w:p w14:paraId="1408CE59" w14:textId="3E45545F" w:rsidR="008352CB" w:rsidRDefault="006B146D" w:rsidP="008352CB">
      <w:pPr>
        <w:rPr>
          <w:lang w:val="en-IL"/>
        </w:rPr>
      </w:pPr>
      <w:r w:rsidRPr="006B146D">
        <w:rPr>
          <w:lang w:val="en-IL"/>
        </w:rPr>
        <w:t xml:space="preserve">For more information or to receive the full ceremony guide, please contact </w:t>
      </w:r>
      <w:r w:rsidR="008352CB">
        <w:rPr>
          <w:lang w:val="en-IL"/>
        </w:rPr>
        <w:t xml:space="preserve">us at </w:t>
      </w:r>
      <w:hyperlink r:id="rId6" w:history="1">
        <w:r w:rsidR="008352CB" w:rsidRPr="00B06E84">
          <w:rPr>
            <w:rStyle w:val="Hyperlink"/>
            <w:lang w:val="en-IL"/>
          </w:rPr>
          <w:t>Itaym@wzo.org.il</w:t>
        </w:r>
      </w:hyperlink>
      <w:r w:rsidR="008352CB">
        <w:rPr>
          <w:lang w:val="en-IL"/>
        </w:rPr>
        <w:t xml:space="preserve"> or </w:t>
      </w:r>
      <w:hyperlink r:id="rId7" w:history="1">
        <w:r w:rsidR="008352CB" w:rsidRPr="00B06E84">
          <w:rPr>
            <w:rStyle w:val="Hyperlink"/>
            <w:lang w:val="en-IL"/>
          </w:rPr>
          <w:t>Yahalp@wzo.org.il</w:t>
        </w:r>
      </w:hyperlink>
      <w:r w:rsidR="008352CB">
        <w:rPr>
          <w:lang w:val="en-IL"/>
        </w:rPr>
        <w:t xml:space="preserve"> .</w:t>
      </w:r>
    </w:p>
    <w:p w14:paraId="0DC8A720" w14:textId="0E1AA042" w:rsidR="00936BAA" w:rsidRPr="00936BAA" w:rsidRDefault="00936BAA" w:rsidP="00936BAA">
      <w:pPr>
        <w:rPr>
          <w:noProof/>
          <w:lang w:val="en-IL"/>
        </w:rPr>
      </w:pPr>
      <w:r w:rsidRPr="00936BAA">
        <w:rPr>
          <w:noProof/>
          <w:lang w:val="en-IL"/>
        </w:rPr>
        <w:drawing>
          <wp:anchor distT="0" distB="0" distL="114300" distR="114300" simplePos="0" relativeHeight="251660288" behindDoc="0" locked="0" layoutInCell="1" allowOverlap="1" wp14:anchorId="2F3E8D8A" wp14:editId="402BE4F7">
            <wp:simplePos x="0" y="0"/>
            <wp:positionH relativeFrom="margin">
              <wp:posOffset>2844799</wp:posOffset>
            </wp:positionH>
            <wp:positionV relativeFrom="paragraph">
              <wp:posOffset>5875</wp:posOffset>
            </wp:positionV>
            <wp:extent cx="3142827" cy="1680897"/>
            <wp:effectExtent l="0" t="0" r="0" b="0"/>
            <wp:wrapNone/>
            <wp:docPr id="254280998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07" cy="16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1054F" w14:textId="2F0280F9" w:rsidR="008352CB" w:rsidRPr="00BF1E42" w:rsidRDefault="00936BAA" w:rsidP="008352CB">
      <w:pPr>
        <w:rPr>
          <w:rtl/>
          <w:lang w:val="en-US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150AA76" wp14:editId="2168B3A4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660650" cy="960028"/>
            <wp:effectExtent l="0" t="0" r="6350" b="0"/>
            <wp:wrapNone/>
            <wp:docPr id="148794069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9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52CB" w:rsidRPr="00BF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A35"/>
    <w:multiLevelType w:val="multilevel"/>
    <w:tmpl w:val="E440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136A9"/>
    <w:multiLevelType w:val="multilevel"/>
    <w:tmpl w:val="3D7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D7D89"/>
    <w:multiLevelType w:val="multilevel"/>
    <w:tmpl w:val="783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22D24"/>
    <w:multiLevelType w:val="multilevel"/>
    <w:tmpl w:val="E77C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14183"/>
    <w:multiLevelType w:val="multilevel"/>
    <w:tmpl w:val="0CB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C19F2"/>
    <w:multiLevelType w:val="multilevel"/>
    <w:tmpl w:val="3A54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663038">
    <w:abstractNumId w:val="3"/>
  </w:num>
  <w:num w:numId="2" w16cid:durableId="1117215073">
    <w:abstractNumId w:val="5"/>
  </w:num>
  <w:num w:numId="3" w16cid:durableId="1679578392">
    <w:abstractNumId w:val="1"/>
  </w:num>
  <w:num w:numId="4" w16cid:durableId="295568507">
    <w:abstractNumId w:val="2"/>
  </w:num>
  <w:num w:numId="5" w16cid:durableId="423650739">
    <w:abstractNumId w:val="0"/>
  </w:num>
  <w:num w:numId="6" w16cid:durableId="58576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6D"/>
    <w:rsid w:val="001353E2"/>
    <w:rsid w:val="006B146D"/>
    <w:rsid w:val="00731AD9"/>
    <w:rsid w:val="008352CB"/>
    <w:rsid w:val="008A4E56"/>
    <w:rsid w:val="00923F99"/>
    <w:rsid w:val="00936BAA"/>
    <w:rsid w:val="00B43F2F"/>
    <w:rsid w:val="00BF1E42"/>
    <w:rsid w:val="00C851B7"/>
    <w:rsid w:val="00E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D96F"/>
  <w15:chartTrackingRefBased/>
  <w15:docId w15:val="{A8855FE2-C087-4278-861F-6D0E4327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B1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B1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B1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B14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B146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B14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B146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B14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B1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B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B1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B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B14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14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8352C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352CB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353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ahalp@wzo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aym@wzo.org.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KpBRp3DwUGVgJvsh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Margalit Itay</dc:creator>
  <cp:keywords/>
  <dc:description/>
  <cp:lastModifiedBy>Margalit Itay</cp:lastModifiedBy>
  <cp:revision>7</cp:revision>
  <dcterms:created xsi:type="dcterms:W3CDTF">2024-08-28T09:02:00Z</dcterms:created>
  <dcterms:modified xsi:type="dcterms:W3CDTF">2024-08-29T09:46:00Z</dcterms:modified>
</cp:coreProperties>
</file>